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0613F96F"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15159A0A" w:rsidR="00BB6416" w:rsidRPr="0065091D" w:rsidRDefault="0025676E"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br w:type="page"/>
            </w:r>
            <w:r w:rsidR="00BB6416"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1B4E0823"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227A0FE4"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54825AE3"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30E003D7"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281BD583"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proofErr w:type="spellStart"/>
              <w:r w:rsidRPr="00F02676">
                <w:rPr>
                  <w:rFonts w:ascii="Verdana" w:eastAsia="Times New Roman" w:hAnsi="Verdana"/>
                  <w:bCs/>
                  <w:iCs/>
                  <w:color w:val="B6DDE8" w:themeColor="accent5" w:themeTint="66"/>
                  <w:szCs w:val="16"/>
                  <w:lang w:eastAsia="en-GB"/>
                </w:rPr>
                <w:t>Igne</w:t>
              </w:r>
              <w:proofErr w:type="spellEnd"/>
            </w:hyperlink>
          </w:p>
          <w:p w14:paraId="14E1DD6A" w14:textId="3C7B22D1"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49293B5A"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4442407C"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5F913EE3"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792190A1"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4CBAABDF"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7F9274F4"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2EFE5F52"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3F90F477"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7B4DF4C7"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3DD6BC06"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51B3075A"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69EF76E2"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proofErr w:type="spellStart"/>
              <w:r>
                <w:rPr>
                  <w:rFonts w:ascii="Verdana" w:eastAsia="Times New Roman" w:hAnsi="Verdana"/>
                  <w:bCs/>
                  <w:iCs/>
                  <w:color w:val="B6DDE8" w:themeColor="accent5" w:themeTint="66"/>
                  <w:szCs w:val="16"/>
                  <w:lang w:eastAsia="en-GB"/>
                </w:rPr>
                <w:t>Igne</w:t>
              </w:r>
              <w:proofErr w:type="spellEnd"/>
            </w:hyperlink>
          </w:p>
          <w:p w14:paraId="6B17820B" w14:textId="6FED1CC0"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7B0C2214"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41070FB8"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6CC44208"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104D6300"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1B4D9155"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21052E87"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6FED4062"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50094F0B"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w:t>
            </w:r>
            <w:r w:rsidR="00E62EEF">
              <w:rPr>
                <w:rFonts w:ascii="Verdana" w:eastAsia="Times New Roman" w:hAnsi="Verdana"/>
                <w:color w:val="B6DDE8" w:themeColor="accent5" w:themeTint="66"/>
                <w:sz w:val="20"/>
                <w:szCs w:val="20"/>
                <w:lang w:eastAsia="en-GB"/>
              </w:rPr>
              <w:t>7</w:t>
            </w:r>
          </w:p>
          <w:p w14:paraId="657518BC" w14:textId="6658663A"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0C7953">
              <w:rPr>
                <w:rFonts w:ascii="Verdana" w:eastAsia="Times New Roman" w:hAnsi="Verdana"/>
                <w:color w:val="B6DDE8" w:themeColor="accent5" w:themeTint="66"/>
                <w:sz w:val="20"/>
                <w:szCs w:val="20"/>
                <w:lang w:eastAsia="en-GB"/>
              </w:rPr>
              <w:t>1</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35F8F3A0" w14:textId="20C5470D" w:rsidR="00F00266" w:rsidRDefault="00EE66BA"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6139A1BC" wp14:editId="6DCB0680">
                        <wp:extent cx="2628900" cy="276225"/>
                        <wp:effectExtent l="0" t="0" r="0" b="9525"/>
                        <wp:docPr id="814894722" name="Picture 1" descr="Arca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dis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8900" cy="276225"/>
                                </a:xfrm>
                                <a:prstGeom prst="rect">
                                  <a:avLst/>
                                </a:prstGeom>
                                <a:noFill/>
                                <a:ln>
                                  <a:noFill/>
                                </a:ln>
                              </pic:spPr>
                            </pic:pic>
                          </a:graphicData>
                        </a:graphic>
                      </wp:inline>
                    </w:drawing>
                  </w:r>
                </w:p>
                <w:p w14:paraId="165BF871" w14:textId="56561BD9" w:rsidR="00E27B79" w:rsidRPr="00401955" w:rsidRDefault="00FF7243" w:rsidP="00E27B79">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EE66BA">
                    <w:rPr>
                      <w:rFonts w:asciiTheme="minorHAnsi" w:eastAsia="Times New Roman" w:hAnsiTheme="minorHAnsi" w:cstheme="minorHAnsi"/>
                      <w:b/>
                      <w:bCs/>
                      <w:color w:val="FF0000"/>
                      <w:sz w:val="40"/>
                      <w:szCs w:val="40"/>
                      <w:lang w:eastAsia="en-GB"/>
                    </w:rPr>
                    <w:t>13</w:t>
                  </w:r>
                  <w:r w:rsidR="00EE66BA" w:rsidRPr="00EE66BA">
                    <w:rPr>
                      <w:rFonts w:asciiTheme="minorHAnsi" w:eastAsia="Times New Roman" w:hAnsiTheme="minorHAnsi" w:cstheme="minorHAnsi"/>
                      <w:b/>
                      <w:bCs/>
                      <w:color w:val="FF0000"/>
                      <w:sz w:val="40"/>
                      <w:szCs w:val="40"/>
                      <w:vertAlign w:val="superscript"/>
                      <w:lang w:eastAsia="en-GB"/>
                    </w:rPr>
                    <w:t>th</w:t>
                  </w:r>
                  <w:r w:rsidR="00EE66BA">
                    <w:rPr>
                      <w:rFonts w:asciiTheme="minorHAnsi" w:eastAsia="Times New Roman" w:hAnsiTheme="minorHAnsi" w:cstheme="minorHAnsi"/>
                      <w:b/>
                      <w:bCs/>
                      <w:color w:val="FF0000"/>
                      <w:sz w:val="40"/>
                      <w:szCs w:val="40"/>
                      <w:lang w:eastAsia="en-GB"/>
                    </w:rPr>
                    <w:t xml:space="preserve"> April</w:t>
                  </w:r>
                  <w:r w:rsidR="00605D4A">
                    <w:rPr>
                      <w:rFonts w:asciiTheme="minorHAnsi" w:eastAsia="Times New Roman" w:hAnsiTheme="minorHAnsi" w:cstheme="minorHAnsi"/>
                      <w:b/>
                      <w:bCs/>
                      <w:color w:val="FF0000"/>
                      <w:sz w:val="40"/>
                      <w:szCs w:val="40"/>
                      <w:lang w:eastAsia="en-GB"/>
                    </w:rPr>
                    <w:t xml:space="preserve"> 2026</w:t>
                  </w:r>
                </w:p>
                <w:p w14:paraId="5113B0AD" w14:textId="7F00C892" w:rsidR="00593C1B" w:rsidRPr="00593C1B" w:rsidRDefault="007A72C9" w:rsidP="00593C1B">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bookmarkStart w:id="2" w:name="_Hlk92453032"/>
                  <w:r>
                    <w:rPr>
                      <w:rFonts w:ascii="Aptos" w:eastAsia="Times New Roman" w:hAnsi="Aptos" w:cs="Aptos"/>
                      <w:b/>
                      <w:bCs/>
                      <w:color w:val="000080"/>
                      <w:sz w:val="40"/>
                      <w:szCs w:val="40"/>
                      <w:lang w:eastAsia="en-GB"/>
                    </w:rPr>
                    <w:t>Concept Design: The Repurposing of Cigarette Packets</w:t>
                  </w:r>
                </w:p>
                <w:p w14:paraId="7B6DBCE7" w14:textId="14C1A570" w:rsidR="00593C1B" w:rsidRDefault="007A72C9" w:rsidP="00593C1B">
                  <w:pPr>
                    <w:spacing w:after="0" w:line="360" w:lineRule="auto"/>
                    <w:jc w:val="center"/>
                    <w:rPr>
                      <w:rFonts w:ascii="Aptos" w:eastAsia="Aptos" w:hAnsi="Aptos"/>
                      <w:b/>
                      <w:bCs/>
                      <w:color w:val="156082"/>
                      <w:sz w:val="28"/>
                      <w:szCs w:val="28"/>
                      <w:lang w:eastAsia="en-GB"/>
                    </w:rPr>
                  </w:pPr>
                  <w:r>
                    <w:rPr>
                      <w:rFonts w:ascii="Aptos" w:eastAsia="Aptos" w:hAnsi="Aptos"/>
                      <w:b/>
                      <w:bCs/>
                      <w:color w:val="156082"/>
                      <w:sz w:val="28"/>
                      <w:szCs w:val="28"/>
                      <w:lang w:eastAsia="en-GB"/>
                    </w:rPr>
                    <w:t>Ian Webber</w:t>
                  </w:r>
                  <w:r w:rsidR="00A20CDB">
                    <w:rPr>
                      <w:rFonts w:ascii="Aptos" w:eastAsia="Aptos" w:hAnsi="Aptos"/>
                      <w:b/>
                      <w:bCs/>
                      <w:color w:val="156082"/>
                      <w:sz w:val="28"/>
                      <w:szCs w:val="28"/>
                      <w:lang w:eastAsia="en-GB"/>
                    </w:rPr>
                    <w:t xml:space="preserve">, </w:t>
                  </w:r>
                  <w:r>
                    <w:rPr>
                      <w:rFonts w:ascii="Aptos" w:eastAsia="Aptos" w:hAnsi="Aptos"/>
                      <w:b/>
                      <w:bCs/>
                      <w:color w:val="156082"/>
                      <w:sz w:val="28"/>
                      <w:szCs w:val="28"/>
                      <w:lang w:eastAsia="en-GB"/>
                    </w:rPr>
                    <w:t>Coffey Geotechnics</w:t>
                  </w:r>
                </w:p>
                <w:p w14:paraId="1B3506FA"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BD381E7"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Abstract</w:t>
                  </w:r>
                </w:p>
                <w:p w14:paraId="21D30F5B" w14:textId="190E511A" w:rsidR="00AD64DB" w:rsidRPr="00AD64DB" w:rsidRDefault="00AD64DB" w:rsidP="00AD64DB">
                  <w:pPr>
                    <w:widowControl w:val="0"/>
                    <w:tabs>
                      <w:tab w:val="left" w:pos="90"/>
                    </w:tabs>
                    <w:adjustRightInd w:val="0"/>
                    <w:spacing w:after="0" w:line="240" w:lineRule="auto"/>
                    <w:jc w:val="both"/>
                    <w:rPr>
                      <w:rFonts w:ascii="Calibri" w:eastAsia="Aptos" w:hAnsi="Calibri" w:cs="Calibri"/>
                      <w:color w:val="424242"/>
                      <w:sz w:val="22"/>
                      <w:lang w:eastAsia="en-GB"/>
                    </w:rPr>
                  </w:pPr>
                  <w:r w:rsidRPr="00AD64DB">
                    <w:rPr>
                      <w:rFonts w:ascii="Calibri" w:eastAsia="Aptos" w:hAnsi="Calibri" w:cs="Calibri"/>
                      <w:color w:val="424242"/>
                      <w:sz w:val="22"/>
                      <w:lang w:eastAsia="en-GB"/>
                    </w:rPr>
                    <w:t xml:space="preserve">The use of high-end numerical methods such as Finite Element, Finite Difference and Boundary Element analysis </w:t>
                  </w:r>
                  <w:proofErr w:type="gramStart"/>
                  <w:r w:rsidRPr="00AD64DB">
                    <w:rPr>
                      <w:rFonts w:ascii="Calibri" w:eastAsia="Aptos" w:hAnsi="Calibri" w:cs="Calibri"/>
                      <w:color w:val="424242"/>
                      <w:sz w:val="22"/>
                      <w:lang w:eastAsia="en-GB"/>
                    </w:rPr>
                    <w:t>have</w:t>
                  </w:r>
                  <w:proofErr w:type="gramEnd"/>
                  <w:r w:rsidRPr="00AD64DB">
                    <w:rPr>
                      <w:rFonts w:ascii="Calibri" w:eastAsia="Aptos" w:hAnsi="Calibri" w:cs="Calibri"/>
                      <w:color w:val="424242"/>
                      <w:sz w:val="22"/>
                      <w:lang w:eastAsia="en-GB"/>
                    </w:rPr>
                    <w:t xml:space="preserve"> become common place in many design offices. These methods are particularly useful for optimising and checking detailed designs. However, for the development and comparison of design solutions it is important to quickly develop concept designs without resorting to complex analysis.</w:t>
                  </w:r>
                </w:p>
                <w:p w14:paraId="3900ED93" w14:textId="77777777" w:rsidR="00AD64DB" w:rsidRPr="00AD64DB" w:rsidRDefault="00AD64DB" w:rsidP="00AD64DB">
                  <w:pPr>
                    <w:widowControl w:val="0"/>
                    <w:tabs>
                      <w:tab w:val="left" w:pos="90"/>
                    </w:tabs>
                    <w:adjustRightInd w:val="0"/>
                    <w:spacing w:after="0" w:line="240" w:lineRule="auto"/>
                    <w:jc w:val="both"/>
                    <w:rPr>
                      <w:rFonts w:ascii="Calibri" w:eastAsia="Aptos" w:hAnsi="Calibri" w:cs="Calibri"/>
                      <w:color w:val="424242"/>
                      <w:sz w:val="22"/>
                      <w:lang w:eastAsia="en-GB"/>
                    </w:rPr>
                  </w:pPr>
                  <w:r w:rsidRPr="00AD64DB">
                    <w:rPr>
                      <w:rFonts w:ascii="Calibri" w:eastAsia="Aptos" w:hAnsi="Calibri" w:cs="Calibri"/>
                      <w:color w:val="424242"/>
                      <w:sz w:val="22"/>
                      <w:lang w:eastAsia="en-GB"/>
                    </w:rPr>
                    <w:t>This lecture concentrates on methods to quickly assess concept designs to allow comparative pricing. The use of design charts and simple analysis allows for the feasibility of design solutions to be determined.</w:t>
                  </w:r>
                </w:p>
                <w:p w14:paraId="73A7003C" w14:textId="77777777" w:rsidR="00AD64DB" w:rsidRPr="00AD64DB" w:rsidRDefault="00AD64DB" w:rsidP="00AD64DB">
                  <w:pPr>
                    <w:widowControl w:val="0"/>
                    <w:tabs>
                      <w:tab w:val="left" w:pos="90"/>
                    </w:tabs>
                    <w:adjustRightInd w:val="0"/>
                    <w:spacing w:after="0" w:line="240" w:lineRule="auto"/>
                    <w:jc w:val="both"/>
                    <w:rPr>
                      <w:rFonts w:ascii="Calibri" w:eastAsia="Aptos" w:hAnsi="Calibri" w:cs="Calibri"/>
                      <w:color w:val="424242"/>
                      <w:sz w:val="22"/>
                      <w:lang w:eastAsia="en-GB"/>
                    </w:rPr>
                  </w:pPr>
                  <w:r w:rsidRPr="00AD64DB">
                    <w:rPr>
                      <w:rFonts w:ascii="Calibri" w:eastAsia="Aptos" w:hAnsi="Calibri" w:cs="Calibri"/>
                      <w:color w:val="424242"/>
                      <w:sz w:val="22"/>
                      <w:lang w:eastAsia="en-GB"/>
                    </w:rPr>
                    <w:t>The lecture considers the applicability of rules of thumb and presents design methods that euphemistically fit onto the back of envelopes or cigarette packages.</w:t>
                  </w:r>
                </w:p>
                <w:p w14:paraId="68C0E3D9" w14:textId="554A21DE" w:rsidR="00AD64DB" w:rsidRPr="00AD64DB" w:rsidRDefault="00AD64DB" w:rsidP="00AD64DB">
                  <w:pPr>
                    <w:widowControl w:val="0"/>
                    <w:tabs>
                      <w:tab w:val="left" w:pos="90"/>
                    </w:tabs>
                    <w:adjustRightInd w:val="0"/>
                    <w:spacing w:after="0" w:line="240" w:lineRule="auto"/>
                    <w:jc w:val="both"/>
                    <w:rPr>
                      <w:rFonts w:ascii="Calibri" w:eastAsia="Aptos" w:hAnsi="Calibri" w:cs="Calibri"/>
                      <w:color w:val="424242"/>
                      <w:sz w:val="22"/>
                      <w:lang w:eastAsia="en-GB"/>
                    </w:rPr>
                  </w:pPr>
                  <w:r w:rsidRPr="00AD64DB">
                    <w:rPr>
                      <w:rFonts w:ascii="Calibri" w:eastAsia="Aptos" w:hAnsi="Calibri" w:cs="Calibri"/>
                      <w:color w:val="424242"/>
                      <w:sz w:val="22"/>
                      <w:lang w:eastAsia="en-GB"/>
                    </w:rPr>
                    <w:t>Despite its title, the lecture relies heavily on work done by Rankine and Glossop lecturers.</w:t>
                  </w:r>
                </w:p>
                <w:p w14:paraId="198D2FE4"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54926A7C" w14:textId="0FE589B3" w:rsidR="00593C1B" w:rsidRPr="00593C1B" w:rsidRDefault="0025676E"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Pr>
                      <w:rFonts w:ascii="Calibri" w:eastAsia="Aptos" w:hAnsi="Calibri" w:cs="Calibri"/>
                      <w:b/>
                      <w:bCs/>
                      <w:color w:val="424242"/>
                      <w:sz w:val="22"/>
                      <w:lang w:eastAsia="en-GB"/>
                    </w:rPr>
                    <w:t>S</w:t>
                  </w:r>
                  <w:r w:rsidR="00593C1B" w:rsidRPr="00593C1B">
                    <w:rPr>
                      <w:rFonts w:ascii="Calibri" w:eastAsia="Aptos" w:hAnsi="Calibri" w:cs="Calibri"/>
                      <w:b/>
                      <w:bCs/>
                      <w:color w:val="424242"/>
                      <w:sz w:val="22"/>
                      <w:lang w:eastAsia="en-GB"/>
                    </w:rPr>
                    <w:t>peaker</w:t>
                  </w:r>
                </w:p>
                <w:p w14:paraId="658704D9" w14:textId="77777777" w:rsidR="00F05501" w:rsidRPr="00F05501" w:rsidRDefault="00F05501" w:rsidP="00F05501">
                  <w:pPr>
                    <w:widowControl w:val="0"/>
                    <w:tabs>
                      <w:tab w:val="left" w:pos="90"/>
                    </w:tabs>
                    <w:adjustRightInd w:val="0"/>
                    <w:spacing w:after="0" w:line="240" w:lineRule="auto"/>
                    <w:jc w:val="both"/>
                    <w:rPr>
                      <w:rFonts w:ascii="Calibri" w:eastAsia="Aptos" w:hAnsi="Calibri" w:cs="Calibri"/>
                      <w:color w:val="424242"/>
                      <w:sz w:val="22"/>
                      <w:lang w:eastAsia="en-GB"/>
                    </w:rPr>
                  </w:pPr>
                  <w:r w:rsidRPr="00F05501">
                    <w:rPr>
                      <w:rFonts w:ascii="Calibri" w:eastAsia="Aptos" w:hAnsi="Calibri" w:cs="Calibri"/>
                      <w:color w:val="424242"/>
                      <w:sz w:val="22"/>
                      <w:lang w:eastAsia="en-GB"/>
                    </w:rPr>
                    <w:t>Ian Webber is a consultant and former director of Coffey Geotechnics Limited based in Harrogate with more than 40 years of experience of geotechnical design. Since setting up his own consultancy in 1997, he has specialised on geotechnical design for contractors on a wide range of challenging infrastructure projects both nationally and internationally. Ian has also acted as the geotechnical expert witness on numerous claims around the world including UK, Ireland, Hong Kong, Middle East, Kazakhstan and New Zealand.</w:t>
                  </w:r>
                </w:p>
                <w:p w14:paraId="07D1EBAA" w14:textId="77777777" w:rsidR="00F05501" w:rsidRPr="00F05501" w:rsidRDefault="00F05501" w:rsidP="00F05501">
                  <w:pPr>
                    <w:widowControl w:val="0"/>
                    <w:tabs>
                      <w:tab w:val="left" w:pos="90"/>
                    </w:tabs>
                    <w:adjustRightInd w:val="0"/>
                    <w:spacing w:after="0" w:line="240" w:lineRule="auto"/>
                    <w:jc w:val="both"/>
                    <w:rPr>
                      <w:rFonts w:ascii="Calibri" w:eastAsia="Aptos" w:hAnsi="Calibri" w:cs="Calibri"/>
                      <w:color w:val="424242"/>
                      <w:sz w:val="22"/>
                      <w:lang w:eastAsia="en-GB"/>
                    </w:rPr>
                  </w:pPr>
                  <w:r w:rsidRPr="00F05501">
                    <w:rPr>
                      <w:rFonts w:ascii="Calibri" w:eastAsia="Aptos" w:hAnsi="Calibri" w:cs="Calibri"/>
                      <w:color w:val="424242"/>
                      <w:sz w:val="22"/>
                      <w:lang w:eastAsia="en-GB"/>
                    </w:rPr>
                    <w:t>Ian was a founder and former chairman of the Yorkshire Geotechnical Group more than 25 years ago as well as a committee member of the British Geotechnical Association. He has a collection of publications which cover a wide range of disciplines including earthworks, pile testing, soil nailing, value engineering and contracts.</w:t>
                  </w:r>
                </w:p>
                <w:p w14:paraId="100C0113"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16B7A6CE"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3690C459" w14:textId="77777777" w:rsidR="0025676E" w:rsidRDefault="0025676E" w:rsidP="00861E0C">
                  <w:pPr>
                    <w:widowControl w:val="0"/>
                    <w:tabs>
                      <w:tab w:val="left" w:pos="90"/>
                    </w:tabs>
                    <w:adjustRightInd w:val="0"/>
                    <w:spacing w:after="0" w:line="240" w:lineRule="auto"/>
                    <w:jc w:val="center"/>
                    <w:rPr>
                      <w:rFonts w:asciiTheme="minorHAnsi" w:hAnsiTheme="minorHAnsi" w:cstheme="minorHAnsi"/>
                      <w:b/>
                      <w:bCs/>
                    </w:rPr>
                  </w:pP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561BA0" w:rsidRPr="00FD28BD" w14:paraId="4B011297" w14:textId="77777777" w:rsidTr="00FA450B">
                    <w:trPr>
                      <w:trHeight w:val="308"/>
                    </w:trPr>
                    <w:tc>
                      <w:tcPr>
                        <w:tcW w:w="846" w:type="dxa"/>
                      </w:tcPr>
                      <w:p w14:paraId="1CDE5083" w14:textId="23451C11"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13th Apr</w:t>
                        </w:r>
                      </w:p>
                    </w:tc>
                    <w:tc>
                      <w:tcPr>
                        <w:tcW w:w="1417" w:type="dxa"/>
                      </w:tcPr>
                      <w:p w14:paraId="3EDAE568" w14:textId="737AD85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Pr>
                            <w:rFonts w:asciiTheme="minorHAnsi" w:eastAsia="Times New Roman" w:hAnsiTheme="minorHAnsi" w:cstheme="minorHAnsi"/>
                            <w:color w:val="000000"/>
                            <w:sz w:val="20"/>
                            <w:szCs w:val="20"/>
                            <w:bdr w:val="none" w:sz="0" w:space="0" w:color="auto" w:frame="1"/>
                          </w:rPr>
                          <w:t xml:space="preserve"> </w:t>
                        </w:r>
                        <w:r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3D4803">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2A893166" w14:textId="77777777" w:rsidTr="00FA450B">
                    <w:trPr>
                      <w:trHeight w:val="308"/>
                    </w:trPr>
                    <w:tc>
                      <w:tcPr>
                        <w:tcW w:w="846" w:type="dxa"/>
                      </w:tcPr>
                      <w:p w14:paraId="17BF5A75" w14:textId="4E37F47E"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11th May</w:t>
                        </w:r>
                      </w:p>
                    </w:tc>
                    <w:tc>
                      <w:tcPr>
                        <w:tcW w:w="1417" w:type="dxa"/>
                      </w:tcPr>
                      <w:p w14:paraId="068ABAB9" w14:textId="14A5E80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 xml:space="preserve">Gareth Mason </w:t>
                        </w:r>
                        <w:r>
                          <w:rPr>
                            <w:rFonts w:asciiTheme="minorHAnsi" w:eastAsia="Times New Roman" w:hAnsiTheme="minorHAnsi" w:cstheme="minorHAnsi"/>
                            <w:color w:val="000000"/>
                            <w:sz w:val="20"/>
                            <w:szCs w:val="20"/>
                            <w:bdr w:val="none" w:sz="0" w:space="0" w:color="auto" w:frame="1"/>
                          </w:rPr>
                          <w:t>M</w:t>
                        </w:r>
                        <w:r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5C4DD15D"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AGM and Environmental Lecture</w:t>
                        </w:r>
                        <w:r w:rsidR="00440522">
                          <w:rPr>
                            <w:rFonts w:asciiTheme="minorHAnsi" w:eastAsia="Times New Roman" w:hAnsiTheme="minorHAnsi" w:cstheme="minorHAnsi"/>
                            <w:b/>
                            <w:bCs/>
                            <w:color w:val="000000"/>
                            <w:sz w:val="20"/>
                            <w:szCs w:val="20"/>
                            <w:bdr w:val="none" w:sz="0" w:space="0" w:color="auto" w:frame="1"/>
                          </w:rPr>
                          <w:t xml:space="preserve">: </w:t>
                        </w:r>
                        <w:r w:rsidR="00440522" w:rsidRPr="00440522">
                          <w:rPr>
                            <w:rFonts w:asciiTheme="minorHAnsi" w:eastAsia="Times New Roman" w:hAnsiTheme="minorHAnsi" w:cstheme="minorHAnsi"/>
                            <w:color w:val="000000"/>
                            <w:sz w:val="20"/>
                            <w:szCs w:val="20"/>
                            <w:bdr w:val="none" w:sz="0" w:space="0" w:color="auto" w:frame="1"/>
                          </w:rPr>
                          <w:t>From Theory to Practice: Delivering Sustainability in Geotechnical Projects</w:t>
                        </w:r>
                      </w:p>
                    </w:tc>
                    <w:tc>
                      <w:tcPr>
                        <w:tcW w:w="1022" w:type="dxa"/>
                      </w:tcPr>
                      <w:p w14:paraId="4FF95044" w14:textId="61A425E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CE74" w14:textId="77777777" w:rsidR="002463D2" w:rsidRDefault="002463D2" w:rsidP="0096217E">
      <w:pPr>
        <w:spacing w:after="0" w:line="240" w:lineRule="auto"/>
      </w:pPr>
      <w:r>
        <w:separator/>
      </w:r>
    </w:p>
  </w:endnote>
  <w:endnote w:type="continuationSeparator" w:id="0">
    <w:p w14:paraId="72E1AF83" w14:textId="77777777" w:rsidR="002463D2" w:rsidRDefault="002463D2"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3BAC" w14:textId="77777777" w:rsidR="002463D2" w:rsidRDefault="002463D2" w:rsidP="0096217E">
      <w:pPr>
        <w:spacing w:after="0" w:line="240" w:lineRule="auto"/>
      </w:pPr>
      <w:r>
        <w:separator/>
      </w:r>
    </w:p>
  </w:footnote>
  <w:footnote w:type="continuationSeparator" w:id="0">
    <w:p w14:paraId="0D511757" w14:textId="77777777" w:rsidR="002463D2" w:rsidRDefault="002463D2"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68153DA9"/>
    <w:multiLevelType w:val="hybridMultilevel"/>
    <w:tmpl w:val="5AC4A376"/>
    <w:lvl w:ilvl="0" w:tplc="67C0B05E">
      <w:numFmt w:val="bullet"/>
      <w:lvlText w:val="-"/>
      <w:lvlJc w:val="left"/>
      <w:pPr>
        <w:ind w:left="720" w:hanging="360"/>
      </w:pPr>
      <w:rPr>
        <w:rFonts w:ascii="Aptos" w:eastAsia="Times New Rom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 w:numId="15" w16cid:durableId="674192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amtQBAAqz/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C7953"/>
    <w:rsid w:val="000D0190"/>
    <w:rsid w:val="000D06F7"/>
    <w:rsid w:val="000D5211"/>
    <w:rsid w:val="000D594F"/>
    <w:rsid w:val="000E694C"/>
    <w:rsid w:val="000F1BD2"/>
    <w:rsid w:val="000F5D15"/>
    <w:rsid w:val="000F7949"/>
    <w:rsid w:val="00100D1E"/>
    <w:rsid w:val="00102C18"/>
    <w:rsid w:val="00103965"/>
    <w:rsid w:val="00106264"/>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4083"/>
    <w:rsid w:val="001E4A35"/>
    <w:rsid w:val="001F4F5B"/>
    <w:rsid w:val="002035ED"/>
    <w:rsid w:val="00207E32"/>
    <w:rsid w:val="00223500"/>
    <w:rsid w:val="00230C5D"/>
    <w:rsid w:val="0024091C"/>
    <w:rsid w:val="00245276"/>
    <w:rsid w:val="002463D2"/>
    <w:rsid w:val="00247E47"/>
    <w:rsid w:val="0025676E"/>
    <w:rsid w:val="00262627"/>
    <w:rsid w:val="0026394B"/>
    <w:rsid w:val="00276622"/>
    <w:rsid w:val="002946C2"/>
    <w:rsid w:val="00294A95"/>
    <w:rsid w:val="00296CA7"/>
    <w:rsid w:val="002A1863"/>
    <w:rsid w:val="002B178B"/>
    <w:rsid w:val="002B44B0"/>
    <w:rsid w:val="002B59C8"/>
    <w:rsid w:val="002C6A32"/>
    <w:rsid w:val="002D4DE6"/>
    <w:rsid w:val="002D641A"/>
    <w:rsid w:val="002E53EF"/>
    <w:rsid w:val="003014C4"/>
    <w:rsid w:val="00301D27"/>
    <w:rsid w:val="00302E19"/>
    <w:rsid w:val="00305A84"/>
    <w:rsid w:val="00305DCC"/>
    <w:rsid w:val="003069BD"/>
    <w:rsid w:val="00337BBE"/>
    <w:rsid w:val="00341E4A"/>
    <w:rsid w:val="00356208"/>
    <w:rsid w:val="003655DE"/>
    <w:rsid w:val="00365E2C"/>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0522"/>
    <w:rsid w:val="004427C3"/>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504371"/>
    <w:rsid w:val="005056BC"/>
    <w:rsid w:val="00506B65"/>
    <w:rsid w:val="00511001"/>
    <w:rsid w:val="00511623"/>
    <w:rsid w:val="00526C93"/>
    <w:rsid w:val="00527F8F"/>
    <w:rsid w:val="00537F05"/>
    <w:rsid w:val="0054013B"/>
    <w:rsid w:val="005403C1"/>
    <w:rsid w:val="0054303A"/>
    <w:rsid w:val="0056015E"/>
    <w:rsid w:val="00561BA0"/>
    <w:rsid w:val="00572DCE"/>
    <w:rsid w:val="0057523A"/>
    <w:rsid w:val="0059094E"/>
    <w:rsid w:val="00593C1B"/>
    <w:rsid w:val="005A11D3"/>
    <w:rsid w:val="005A493F"/>
    <w:rsid w:val="005A6BF6"/>
    <w:rsid w:val="005A74A1"/>
    <w:rsid w:val="005B1933"/>
    <w:rsid w:val="005B5EBD"/>
    <w:rsid w:val="005C774A"/>
    <w:rsid w:val="005D2B68"/>
    <w:rsid w:val="005D2CAB"/>
    <w:rsid w:val="005D54AF"/>
    <w:rsid w:val="005D757A"/>
    <w:rsid w:val="005E04A5"/>
    <w:rsid w:val="005E1CC2"/>
    <w:rsid w:val="005F1DB3"/>
    <w:rsid w:val="005F3952"/>
    <w:rsid w:val="005F57AF"/>
    <w:rsid w:val="00605D4A"/>
    <w:rsid w:val="0060646F"/>
    <w:rsid w:val="00630CA1"/>
    <w:rsid w:val="006328D9"/>
    <w:rsid w:val="00635373"/>
    <w:rsid w:val="00637D37"/>
    <w:rsid w:val="0065091D"/>
    <w:rsid w:val="00654EE0"/>
    <w:rsid w:val="00665B80"/>
    <w:rsid w:val="006719CA"/>
    <w:rsid w:val="006769E2"/>
    <w:rsid w:val="00680F73"/>
    <w:rsid w:val="006921DC"/>
    <w:rsid w:val="006A063A"/>
    <w:rsid w:val="006A3732"/>
    <w:rsid w:val="006B0497"/>
    <w:rsid w:val="006B779C"/>
    <w:rsid w:val="006C1A8A"/>
    <w:rsid w:val="006C2998"/>
    <w:rsid w:val="006C3E73"/>
    <w:rsid w:val="006C7C32"/>
    <w:rsid w:val="006D628D"/>
    <w:rsid w:val="006E0DE9"/>
    <w:rsid w:val="006E119F"/>
    <w:rsid w:val="006E2C82"/>
    <w:rsid w:val="006F17A4"/>
    <w:rsid w:val="00701311"/>
    <w:rsid w:val="0070233D"/>
    <w:rsid w:val="00703A03"/>
    <w:rsid w:val="00706CDE"/>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339F"/>
    <w:rsid w:val="00794706"/>
    <w:rsid w:val="007A2B6B"/>
    <w:rsid w:val="007A72C9"/>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329C0"/>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3BB4"/>
    <w:rsid w:val="009F731A"/>
    <w:rsid w:val="009F7C94"/>
    <w:rsid w:val="00A01FE9"/>
    <w:rsid w:val="00A20CDB"/>
    <w:rsid w:val="00A25957"/>
    <w:rsid w:val="00A27B32"/>
    <w:rsid w:val="00A40FA5"/>
    <w:rsid w:val="00A41535"/>
    <w:rsid w:val="00A502BA"/>
    <w:rsid w:val="00A50E3A"/>
    <w:rsid w:val="00A521B4"/>
    <w:rsid w:val="00A5426B"/>
    <w:rsid w:val="00A54E34"/>
    <w:rsid w:val="00A647DF"/>
    <w:rsid w:val="00A67B7A"/>
    <w:rsid w:val="00A71261"/>
    <w:rsid w:val="00A75313"/>
    <w:rsid w:val="00A84DE2"/>
    <w:rsid w:val="00A87C95"/>
    <w:rsid w:val="00A94C63"/>
    <w:rsid w:val="00A965DA"/>
    <w:rsid w:val="00A96937"/>
    <w:rsid w:val="00A96A0F"/>
    <w:rsid w:val="00AA21E3"/>
    <w:rsid w:val="00AA3BCB"/>
    <w:rsid w:val="00AA6FEF"/>
    <w:rsid w:val="00AB0499"/>
    <w:rsid w:val="00AC0365"/>
    <w:rsid w:val="00AC0EB7"/>
    <w:rsid w:val="00AC4DB4"/>
    <w:rsid w:val="00AC7B77"/>
    <w:rsid w:val="00AD64DB"/>
    <w:rsid w:val="00AF5B07"/>
    <w:rsid w:val="00B0415E"/>
    <w:rsid w:val="00B07498"/>
    <w:rsid w:val="00B11544"/>
    <w:rsid w:val="00B17AA1"/>
    <w:rsid w:val="00B203C5"/>
    <w:rsid w:val="00B22DF7"/>
    <w:rsid w:val="00B35A3F"/>
    <w:rsid w:val="00B50DF3"/>
    <w:rsid w:val="00B54EC7"/>
    <w:rsid w:val="00B618BA"/>
    <w:rsid w:val="00B64D98"/>
    <w:rsid w:val="00B70422"/>
    <w:rsid w:val="00B73436"/>
    <w:rsid w:val="00B7452E"/>
    <w:rsid w:val="00B7752E"/>
    <w:rsid w:val="00B9121C"/>
    <w:rsid w:val="00B92288"/>
    <w:rsid w:val="00BA1EC9"/>
    <w:rsid w:val="00BA516D"/>
    <w:rsid w:val="00BB2BFD"/>
    <w:rsid w:val="00BB6416"/>
    <w:rsid w:val="00BB6CF1"/>
    <w:rsid w:val="00BC420E"/>
    <w:rsid w:val="00BD7F73"/>
    <w:rsid w:val="00BE0964"/>
    <w:rsid w:val="00BE1051"/>
    <w:rsid w:val="00BF2238"/>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1B0"/>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654CE"/>
    <w:rsid w:val="00D7359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27B79"/>
    <w:rsid w:val="00E43225"/>
    <w:rsid w:val="00E43E81"/>
    <w:rsid w:val="00E53999"/>
    <w:rsid w:val="00E57054"/>
    <w:rsid w:val="00E60A3B"/>
    <w:rsid w:val="00E62EEF"/>
    <w:rsid w:val="00E66CCA"/>
    <w:rsid w:val="00E82F37"/>
    <w:rsid w:val="00E86BF7"/>
    <w:rsid w:val="00EA71E7"/>
    <w:rsid w:val="00EB7B56"/>
    <w:rsid w:val="00EC52C8"/>
    <w:rsid w:val="00ED6720"/>
    <w:rsid w:val="00EE66BA"/>
    <w:rsid w:val="00F00266"/>
    <w:rsid w:val="00F02676"/>
    <w:rsid w:val="00F05501"/>
    <w:rsid w:val="00F07DFC"/>
    <w:rsid w:val="00F12A90"/>
    <w:rsid w:val="00F1319C"/>
    <w:rsid w:val="00F31F7A"/>
    <w:rsid w:val="00F3203C"/>
    <w:rsid w:val="00F321B9"/>
    <w:rsid w:val="00F322B8"/>
    <w:rsid w:val="00F34042"/>
    <w:rsid w:val="00F355F1"/>
    <w:rsid w:val="00F40B20"/>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4AA7"/>
    <w:rsid w:val="00FE4E87"/>
    <w:rsid w:val="00FE72A7"/>
    <w:rsid w:val="00FE7461"/>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2975</Characters>
  <Application>Microsoft Office Word</Application>
  <DocSecurity>4</DocSecurity>
  <Lines>162</Lines>
  <Paragraphs>81</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2</cp:revision>
  <cp:lastPrinted>2020-04-27T14:16:00Z</cp:lastPrinted>
  <dcterms:created xsi:type="dcterms:W3CDTF">2026-03-16T13:20:00Z</dcterms:created>
  <dcterms:modified xsi:type="dcterms:W3CDTF">2026-03-16T13:20:00Z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