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223500">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401955">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223500">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223500">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248275A8"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223500">
        <w:trPr>
          <w:trHeight w:val="12640"/>
        </w:trPr>
        <w:tc>
          <w:tcPr>
            <w:tcW w:w="3261" w:type="dxa"/>
            <w:shd w:val="clear" w:color="auto" w:fill="0066CC"/>
            <w:tcMar>
              <w:top w:w="0" w:type="dxa"/>
              <w:left w:w="108" w:type="dxa"/>
              <w:bottom w:w="0" w:type="dxa"/>
              <w:right w:w="108" w:type="dxa"/>
            </w:tcMar>
            <w:hideMark/>
          </w:tcPr>
          <w:p w14:paraId="6F7E9426" w14:textId="45412626" w:rsidR="00BB6416" w:rsidRPr="0065091D" w:rsidRDefault="0025676E"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br w:type="page"/>
            </w:r>
            <w:r w:rsidR="00BB6416"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605B6295"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6EA9F0C7"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3CE525FD"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1DFB0D96"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4834C90C"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proofErr w:type="spellStart"/>
              <w:r w:rsidRPr="00F02676">
                <w:rPr>
                  <w:rFonts w:ascii="Verdana" w:eastAsia="Times New Roman" w:hAnsi="Verdana"/>
                  <w:bCs/>
                  <w:iCs/>
                  <w:color w:val="B6DDE8" w:themeColor="accent5" w:themeTint="66"/>
                  <w:szCs w:val="16"/>
                  <w:lang w:eastAsia="en-GB"/>
                </w:rPr>
                <w:t>Igne</w:t>
              </w:r>
              <w:proofErr w:type="spellEnd"/>
            </w:hyperlink>
          </w:p>
          <w:p w14:paraId="14E1DD6A" w14:textId="3BCAC1BF"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3F6407EE"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045E6D2B"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42197FFE"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058C9DC7"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1A684DAF"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739C1EA9"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1238330A"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794F8374"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28922E2F"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6B9C857B" w14:textId="7A72FE49" w:rsidR="000377E7" w:rsidRPr="0065091D" w:rsidRDefault="000377E7"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641F6F81"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63781815"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7B919F57"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77402F15"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68AECB92"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proofErr w:type="spellStart"/>
              <w:r>
                <w:rPr>
                  <w:rFonts w:ascii="Verdana" w:eastAsia="Times New Roman" w:hAnsi="Verdana"/>
                  <w:bCs/>
                  <w:iCs/>
                  <w:color w:val="B6DDE8" w:themeColor="accent5" w:themeTint="66"/>
                  <w:szCs w:val="16"/>
                  <w:lang w:eastAsia="en-GB"/>
                </w:rPr>
                <w:t>Igne</w:t>
              </w:r>
              <w:proofErr w:type="spellEnd"/>
            </w:hyperlink>
          </w:p>
          <w:p w14:paraId="6B17820B" w14:textId="55E84055"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6CC4C652"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186D797A"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54D540D8"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7B96AB1A"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4C454C77"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407D7CB0"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16D00B02"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50094F0B"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w:t>
            </w:r>
            <w:r w:rsidR="00E62EEF">
              <w:rPr>
                <w:rFonts w:ascii="Verdana" w:eastAsia="Times New Roman" w:hAnsi="Verdana"/>
                <w:color w:val="B6DDE8" w:themeColor="accent5" w:themeTint="66"/>
                <w:sz w:val="20"/>
                <w:szCs w:val="20"/>
                <w:lang w:eastAsia="en-GB"/>
              </w:rPr>
              <w:t>7</w:t>
            </w:r>
          </w:p>
          <w:p w14:paraId="657518BC" w14:textId="6658663A"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0C7953">
              <w:rPr>
                <w:rFonts w:ascii="Verdana" w:eastAsia="Times New Roman" w:hAnsi="Verdana"/>
                <w:color w:val="B6DDE8" w:themeColor="accent5" w:themeTint="66"/>
                <w:sz w:val="20"/>
                <w:szCs w:val="20"/>
                <w:lang w:eastAsia="en-GB"/>
              </w:rPr>
              <w:t>1</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35F8F3A0" w14:textId="66A58539" w:rsidR="00F00266" w:rsidRDefault="00F875A7"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noProof/>
                    </w:rPr>
                    <w:drawing>
                      <wp:inline distT="0" distB="0" distL="0" distR="0" wp14:anchorId="161F6CF6" wp14:editId="4F14A908">
                        <wp:extent cx="1772920" cy="397510"/>
                        <wp:effectExtent l="0" t="0" r="0" b="2540"/>
                        <wp:docPr id="1924991261" name="Picture 1" descr="Hues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esker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72920" cy="397510"/>
                                </a:xfrm>
                                <a:prstGeom prst="rect">
                                  <a:avLst/>
                                </a:prstGeom>
                                <a:noFill/>
                                <a:ln>
                                  <a:noFill/>
                                </a:ln>
                              </pic:spPr>
                            </pic:pic>
                          </a:graphicData>
                        </a:graphic>
                      </wp:inline>
                    </w:drawing>
                  </w:r>
                </w:p>
                <w:p w14:paraId="165BF871" w14:textId="28389292" w:rsidR="00E27B79" w:rsidRPr="00401955" w:rsidRDefault="00FF7243" w:rsidP="00E27B79">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F875A7">
                    <w:rPr>
                      <w:rFonts w:asciiTheme="minorHAnsi" w:eastAsia="Times New Roman" w:hAnsiTheme="minorHAnsi" w:cstheme="minorHAnsi"/>
                      <w:b/>
                      <w:bCs/>
                      <w:color w:val="FF0000"/>
                      <w:sz w:val="40"/>
                      <w:szCs w:val="40"/>
                      <w:lang w:eastAsia="en-GB"/>
                    </w:rPr>
                    <w:t>11</w:t>
                  </w:r>
                  <w:r w:rsidR="00F875A7" w:rsidRPr="00F875A7">
                    <w:rPr>
                      <w:rFonts w:asciiTheme="minorHAnsi" w:eastAsia="Times New Roman" w:hAnsiTheme="minorHAnsi" w:cstheme="minorHAnsi"/>
                      <w:b/>
                      <w:bCs/>
                      <w:color w:val="FF0000"/>
                      <w:sz w:val="40"/>
                      <w:szCs w:val="40"/>
                      <w:vertAlign w:val="superscript"/>
                      <w:lang w:eastAsia="en-GB"/>
                    </w:rPr>
                    <w:t>th</w:t>
                  </w:r>
                  <w:r w:rsidR="00F875A7">
                    <w:rPr>
                      <w:rFonts w:asciiTheme="minorHAnsi" w:eastAsia="Times New Roman" w:hAnsiTheme="minorHAnsi" w:cstheme="minorHAnsi"/>
                      <w:b/>
                      <w:bCs/>
                      <w:color w:val="FF0000"/>
                      <w:sz w:val="40"/>
                      <w:szCs w:val="40"/>
                      <w:lang w:eastAsia="en-GB"/>
                    </w:rPr>
                    <w:t xml:space="preserve"> May</w:t>
                  </w:r>
                  <w:r w:rsidR="00605D4A">
                    <w:rPr>
                      <w:rFonts w:asciiTheme="minorHAnsi" w:eastAsia="Times New Roman" w:hAnsiTheme="minorHAnsi" w:cstheme="minorHAnsi"/>
                      <w:b/>
                      <w:bCs/>
                      <w:color w:val="FF0000"/>
                      <w:sz w:val="40"/>
                      <w:szCs w:val="40"/>
                      <w:lang w:eastAsia="en-GB"/>
                    </w:rPr>
                    <w:t xml:space="preserve"> 2026</w:t>
                  </w:r>
                </w:p>
                <w:p w14:paraId="192B0583" w14:textId="1E3E24D5" w:rsidR="00BD1C9D" w:rsidRDefault="00BD1C9D" w:rsidP="00FD3953">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bookmarkStart w:id="2" w:name="_Hlk92453032"/>
                  <w:r>
                    <w:rPr>
                      <w:rFonts w:ascii="Aptos" w:eastAsia="Times New Roman" w:hAnsi="Aptos" w:cs="Aptos"/>
                      <w:b/>
                      <w:bCs/>
                      <w:color w:val="000080"/>
                      <w:sz w:val="40"/>
                      <w:szCs w:val="40"/>
                      <w:lang w:eastAsia="en-GB"/>
                    </w:rPr>
                    <w:t>Annual General Meeting</w:t>
                  </w:r>
                  <w:r w:rsidR="008D2C5B">
                    <w:rPr>
                      <w:rFonts w:ascii="Aptos" w:eastAsia="Times New Roman" w:hAnsi="Aptos" w:cs="Aptos"/>
                      <w:b/>
                      <w:bCs/>
                      <w:color w:val="000080"/>
                      <w:sz w:val="40"/>
                      <w:szCs w:val="40"/>
                      <w:lang w:eastAsia="en-GB"/>
                    </w:rPr>
                    <w:t>,</w:t>
                  </w:r>
                  <w:r>
                    <w:rPr>
                      <w:rFonts w:ascii="Aptos" w:eastAsia="Times New Roman" w:hAnsi="Aptos" w:cs="Aptos"/>
                      <w:b/>
                      <w:bCs/>
                      <w:color w:val="000080"/>
                      <w:sz w:val="40"/>
                      <w:szCs w:val="40"/>
                      <w:lang w:eastAsia="en-GB"/>
                    </w:rPr>
                    <w:t xml:space="preserve"> followed by</w:t>
                  </w:r>
                  <w:r w:rsidR="008D2C5B">
                    <w:rPr>
                      <w:rFonts w:ascii="Aptos" w:eastAsia="Times New Roman" w:hAnsi="Aptos" w:cs="Aptos"/>
                      <w:b/>
                      <w:bCs/>
                      <w:color w:val="000080"/>
                      <w:sz w:val="40"/>
                      <w:szCs w:val="40"/>
                      <w:lang w:eastAsia="en-GB"/>
                    </w:rPr>
                    <w:t>:</w:t>
                  </w:r>
                </w:p>
                <w:p w14:paraId="7EB5C471" w14:textId="77777777" w:rsidR="008D2C5B" w:rsidRDefault="008D2C5B" w:rsidP="00FD3953">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p>
                <w:p w14:paraId="5CC0C977" w14:textId="5121CFBA" w:rsidR="00FD3953" w:rsidRPr="00FD3953" w:rsidRDefault="00FD3953" w:rsidP="00FD3953">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r w:rsidRPr="00FD3953">
                    <w:rPr>
                      <w:rFonts w:ascii="Aptos" w:eastAsia="Times New Roman" w:hAnsi="Aptos" w:cs="Aptos"/>
                      <w:b/>
                      <w:bCs/>
                      <w:color w:val="000080"/>
                      <w:sz w:val="40"/>
                      <w:szCs w:val="40"/>
                      <w:lang w:eastAsia="en-GB"/>
                    </w:rPr>
                    <w:t>From Theory to Practice: Delivering Sustainability in Geotechnical Projects</w:t>
                  </w:r>
                </w:p>
                <w:p w14:paraId="7B6DBCE7" w14:textId="60A0F973" w:rsidR="00593C1B" w:rsidRDefault="00FD3953" w:rsidP="00593C1B">
                  <w:pPr>
                    <w:spacing w:after="0" w:line="360" w:lineRule="auto"/>
                    <w:jc w:val="center"/>
                    <w:rPr>
                      <w:rFonts w:ascii="Aptos" w:eastAsia="Aptos" w:hAnsi="Aptos"/>
                      <w:b/>
                      <w:bCs/>
                      <w:color w:val="156082"/>
                      <w:sz w:val="28"/>
                      <w:szCs w:val="28"/>
                      <w:lang w:eastAsia="en-GB"/>
                    </w:rPr>
                  </w:pPr>
                  <w:r>
                    <w:rPr>
                      <w:rFonts w:ascii="Aptos" w:eastAsia="Aptos" w:hAnsi="Aptos"/>
                      <w:b/>
                      <w:bCs/>
                      <w:color w:val="156082"/>
                      <w:sz w:val="28"/>
                      <w:szCs w:val="28"/>
                      <w:lang w:eastAsia="en-GB"/>
                    </w:rPr>
                    <w:t>Gareth Mason, Mott MacDonald</w:t>
                  </w:r>
                </w:p>
                <w:p w14:paraId="1B3506FA"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BD381E7"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Abstract</w:t>
                  </w:r>
                </w:p>
                <w:p w14:paraId="1AE3151D" w14:textId="77777777" w:rsidR="00BD1C9D" w:rsidRPr="00BD1C9D" w:rsidRDefault="00BD1C9D" w:rsidP="00BD1C9D">
                  <w:pPr>
                    <w:widowControl w:val="0"/>
                    <w:tabs>
                      <w:tab w:val="left" w:pos="90"/>
                    </w:tabs>
                    <w:adjustRightInd w:val="0"/>
                    <w:spacing w:after="0" w:line="240" w:lineRule="auto"/>
                    <w:jc w:val="both"/>
                    <w:rPr>
                      <w:rFonts w:ascii="Calibri" w:eastAsia="Aptos" w:hAnsi="Calibri" w:cs="Calibri"/>
                      <w:color w:val="424242"/>
                      <w:sz w:val="22"/>
                      <w:lang w:eastAsia="en-GB"/>
                    </w:rPr>
                  </w:pPr>
                  <w:r w:rsidRPr="00BD1C9D">
                    <w:rPr>
                      <w:rFonts w:ascii="Calibri" w:eastAsia="Aptos" w:hAnsi="Calibri" w:cs="Calibri"/>
                      <w:color w:val="424242"/>
                      <w:sz w:val="22"/>
                      <w:lang w:eastAsia="en-GB"/>
                    </w:rPr>
                    <w:t>This talk explores how sustainability can be embedded in geotechnical design and delivery. It examines the role of carbon calculators, climate change and climate resilience in shaping design decisions, alongside adaptable design approaches that respond to future uncertainty. Social value and social outcomes are considered as integral components of sustainable geotechnical solutions, rather than secondary benefits.</w:t>
                  </w:r>
                </w:p>
                <w:p w14:paraId="14ADB8C7" w14:textId="77777777" w:rsidR="00BD1C9D" w:rsidRPr="00BD1C9D" w:rsidRDefault="00BD1C9D" w:rsidP="00BD1C9D">
                  <w:pPr>
                    <w:widowControl w:val="0"/>
                    <w:tabs>
                      <w:tab w:val="left" w:pos="90"/>
                    </w:tabs>
                    <w:adjustRightInd w:val="0"/>
                    <w:spacing w:after="0" w:line="240" w:lineRule="auto"/>
                    <w:jc w:val="both"/>
                    <w:rPr>
                      <w:rFonts w:ascii="Calibri" w:eastAsia="Aptos" w:hAnsi="Calibri" w:cs="Calibri"/>
                      <w:color w:val="424242"/>
                      <w:sz w:val="22"/>
                      <w:lang w:eastAsia="en-GB"/>
                    </w:rPr>
                  </w:pPr>
                  <w:r w:rsidRPr="00BD1C9D">
                    <w:rPr>
                      <w:rFonts w:ascii="Calibri" w:eastAsia="Aptos" w:hAnsi="Calibri" w:cs="Calibri"/>
                      <w:color w:val="424242"/>
                      <w:sz w:val="22"/>
                      <w:lang w:eastAsia="en-GB"/>
                    </w:rPr>
                    <w:t>Using project examples including the design of a 100 m high rock slope for a hydropower project in Pakistan and flood defence schemes in the UK, the talk demonstrates how sustainability principles influence real</w:t>
                  </w:r>
                  <w:r w:rsidRPr="00BD1C9D">
                    <w:rPr>
                      <w:rFonts w:ascii="Calibri" w:eastAsia="Aptos" w:hAnsi="Calibri" w:cs="Calibri"/>
                      <w:color w:val="424242"/>
                      <w:sz w:val="22"/>
                      <w:lang w:eastAsia="en-GB"/>
                    </w:rPr>
                    <w:noBreakHyphen/>
                    <w:t>world decisions. A comparative carbon assessment of different ground investigation and piling techniques is also presented, highlighting the varying impacts of common approaches and the importance of informed early</w:t>
                  </w:r>
                  <w:r w:rsidRPr="00BD1C9D">
                    <w:rPr>
                      <w:rFonts w:ascii="Calibri" w:eastAsia="Aptos" w:hAnsi="Calibri" w:cs="Calibri"/>
                      <w:color w:val="424242"/>
                      <w:sz w:val="22"/>
                      <w:lang w:eastAsia="en-GB"/>
                    </w:rPr>
                    <w:noBreakHyphen/>
                    <w:t>stage choices.</w:t>
                  </w:r>
                </w:p>
                <w:p w14:paraId="79E770BC" w14:textId="77777777" w:rsidR="0025676E" w:rsidRDefault="0025676E"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54926A7C" w14:textId="0FE589B3" w:rsidR="00593C1B" w:rsidRPr="00593C1B" w:rsidRDefault="0025676E"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Pr>
                      <w:rFonts w:ascii="Calibri" w:eastAsia="Aptos" w:hAnsi="Calibri" w:cs="Calibri"/>
                      <w:b/>
                      <w:bCs/>
                      <w:color w:val="424242"/>
                      <w:sz w:val="22"/>
                      <w:lang w:eastAsia="en-GB"/>
                    </w:rPr>
                    <w:t>S</w:t>
                  </w:r>
                  <w:r w:rsidR="00593C1B" w:rsidRPr="00593C1B">
                    <w:rPr>
                      <w:rFonts w:ascii="Calibri" w:eastAsia="Aptos" w:hAnsi="Calibri" w:cs="Calibri"/>
                      <w:b/>
                      <w:bCs/>
                      <w:color w:val="424242"/>
                      <w:sz w:val="22"/>
                      <w:lang w:eastAsia="en-GB"/>
                    </w:rPr>
                    <w:t>peaker</w:t>
                  </w:r>
                </w:p>
                <w:p w14:paraId="50B93550" w14:textId="77777777" w:rsidR="00BD1C9D" w:rsidRPr="00BD1C9D" w:rsidRDefault="00BD1C9D" w:rsidP="00BD1C9D">
                  <w:pPr>
                    <w:widowControl w:val="0"/>
                    <w:tabs>
                      <w:tab w:val="left" w:pos="90"/>
                    </w:tabs>
                    <w:adjustRightInd w:val="0"/>
                    <w:spacing w:after="0" w:line="240" w:lineRule="auto"/>
                    <w:jc w:val="both"/>
                    <w:rPr>
                      <w:rFonts w:ascii="Calibri" w:eastAsia="Aptos" w:hAnsi="Calibri" w:cs="Calibri"/>
                      <w:color w:val="424242"/>
                      <w:sz w:val="22"/>
                      <w:lang w:eastAsia="en-GB"/>
                    </w:rPr>
                  </w:pPr>
                  <w:r w:rsidRPr="00BD1C9D">
                    <w:rPr>
                      <w:rFonts w:ascii="Calibri" w:eastAsia="Aptos" w:hAnsi="Calibri" w:cs="Calibri"/>
                      <w:color w:val="424242"/>
                      <w:sz w:val="22"/>
                      <w:lang w:eastAsia="en-GB"/>
                    </w:rPr>
                    <w:t>Gareth Mason is a Senior Principal Engineering Geologist at Mott MacDonald with over 25 years’ experience delivering major infrastructure projects worldwide. His career spans a wide range of sectors and is underpinned by substantial site</w:t>
                  </w:r>
                  <w:r w:rsidRPr="00BD1C9D">
                    <w:rPr>
                      <w:rFonts w:ascii="Calibri" w:eastAsia="Aptos" w:hAnsi="Calibri" w:cs="Calibri"/>
                      <w:color w:val="424242"/>
                      <w:sz w:val="22"/>
                      <w:lang w:eastAsia="en-GB"/>
                    </w:rPr>
                    <w:noBreakHyphen/>
                    <w:t>based experience in the UK, Pakistan, Turkey, Norway and Canada.</w:t>
                  </w:r>
                </w:p>
                <w:p w14:paraId="6C3F1341" w14:textId="77777777" w:rsidR="00BD1C9D" w:rsidRPr="00BD1C9D" w:rsidRDefault="00BD1C9D" w:rsidP="00BD1C9D">
                  <w:pPr>
                    <w:widowControl w:val="0"/>
                    <w:tabs>
                      <w:tab w:val="left" w:pos="90"/>
                    </w:tabs>
                    <w:adjustRightInd w:val="0"/>
                    <w:spacing w:after="0" w:line="240" w:lineRule="auto"/>
                    <w:jc w:val="both"/>
                    <w:rPr>
                      <w:rFonts w:ascii="Calibri" w:eastAsia="Aptos" w:hAnsi="Calibri" w:cs="Calibri"/>
                      <w:color w:val="424242"/>
                      <w:sz w:val="22"/>
                      <w:lang w:eastAsia="en-GB"/>
                    </w:rPr>
                  </w:pPr>
                  <w:r w:rsidRPr="00BD1C9D">
                    <w:rPr>
                      <w:rFonts w:ascii="Calibri" w:eastAsia="Aptos" w:hAnsi="Calibri" w:cs="Calibri"/>
                      <w:color w:val="424242"/>
                      <w:sz w:val="22"/>
                      <w:lang w:eastAsia="en-GB"/>
                    </w:rPr>
                    <w:t>Alongside his project role, Gareth is the Sustainability, Climate Change and Social Lead for the Heavy Civil Infrastructure division at Mott MacDonald, representing an 800</w:t>
                  </w:r>
                  <w:r w:rsidRPr="00BD1C9D">
                    <w:rPr>
                      <w:rFonts w:ascii="Calibri" w:eastAsia="Aptos" w:hAnsi="Calibri" w:cs="Calibri"/>
                      <w:color w:val="424242"/>
                      <w:sz w:val="22"/>
                      <w:lang w:eastAsia="en-GB"/>
                    </w:rPr>
                    <w:noBreakHyphen/>
                    <w:t>strong team. In this role, he champions the integration of sustainability into design and engineering decision</w:t>
                  </w:r>
                  <w:r w:rsidRPr="00BD1C9D">
                    <w:rPr>
                      <w:rFonts w:ascii="Calibri" w:eastAsia="Aptos" w:hAnsi="Calibri" w:cs="Calibri"/>
                      <w:color w:val="424242"/>
                      <w:sz w:val="22"/>
                      <w:lang w:eastAsia="en-GB"/>
                    </w:rPr>
                    <w:noBreakHyphen/>
                    <w:t>making, with a clear focus on ensuring that sustainability outcomes actively drive engineering solutions.</w:t>
                  </w:r>
                </w:p>
                <w:p w14:paraId="100C0113"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p>
                <w:p w14:paraId="16B7A6CE"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1"/>
      <w:headerReference w:type="default" r:id="rId32"/>
      <w:footerReference w:type="even" r:id="rId33"/>
      <w:footerReference w:type="default" r:id="rId34"/>
      <w:headerReference w:type="first" r:id="rId35"/>
      <w:footerReference w:type="first" r:id="rId36"/>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259D" w14:textId="77777777" w:rsidR="006E5FF3" w:rsidRDefault="006E5FF3" w:rsidP="0096217E">
      <w:pPr>
        <w:spacing w:after="0" w:line="240" w:lineRule="auto"/>
      </w:pPr>
      <w:r>
        <w:separator/>
      </w:r>
    </w:p>
  </w:endnote>
  <w:endnote w:type="continuationSeparator" w:id="0">
    <w:p w14:paraId="3B2663E5" w14:textId="77777777" w:rsidR="006E5FF3" w:rsidRDefault="006E5FF3"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FBEF" w14:textId="77777777" w:rsidR="006E5FF3" w:rsidRDefault="006E5FF3" w:rsidP="0096217E">
      <w:pPr>
        <w:spacing w:after="0" w:line="240" w:lineRule="auto"/>
      </w:pPr>
      <w:r>
        <w:separator/>
      </w:r>
    </w:p>
  </w:footnote>
  <w:footnote w:type="continuationSeparator" w:id="0">
    <w:p w14:paraId="215D0FE1" w14:textId="77777777" w:rsidR="006E5FF3" w:rsidRDefault="006E5FF3"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68153DA9"/>
    <w:multiLevelType w:val="hybridMultilevel"/>
    <w:tmpl w:val="5AC4A376"/>
    <w:lvl w:ilvl="0" w:tplc="67C0B05E">
      <w:numFmt w:val="bullet"/>
      <w:lvlText w:val="-"/>
      <w:lvlJc w:val="left"/>
      <w:pPr>
        <w:ind w:left="720" w:hanging="360"/>
      </w:pPr>
      <w:rPr>
        <w:rFonts w:ascii="Aptos" w:eastAsia="Times New Rom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 w:numId="15" w16cid:durableId="674192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amtQBAAqz/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C7953"/>
    <w:rsid w:val="000D0190"/>
    <w:rsid w:val="000D06F7"/>
    <w:rsid w:val="000D5211"/>
    <w:rsid w:val="000D594F"/>
    <w:rsid w:val="000E694C"/>
    <w:rsid w:val="000F1BD2"/>
    <w:rsid w:val="000F5D15"/>
    <w:rsid w:val="000F7949"/>
    <w:rsid w:val="00100D1E"/>
    <w:rsid w:val="00102C18"/>
    <w:rsid w:val="00103965"/>
    <w:rsid w:val="00106264"/>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48E4"/>
    <w:rsid w:val="001974C2"/>
    <w:rsid w:val="001A25BD"/>
    <w:rsid w:val="001B214E"/>
    <w:rsid w:val="001B3298"/>
    <w:rsid w:val="001B65DE"/>
    <w:rsid w:val="001B6973"/>
    <w:rsid w:val="001C1D85"/>
    <w:rsid w:val="001C4083"/>
    <w:rsid w:val="001E4A35"/>
    <w:rsid w:val="001F4F5B"/>
    <w:rsid w:val="002035ED"/>
    <w:rsid w:val="00207E32"/>
    <w:rsid w:val="00223500"/>
    <w:rsid w:val="00230C5D"/>
    <w:rsid w:val="0024091C"/>
    <w:rsid w:val="00245276"/>
    <w:rsid w:val="002463D2"/>
    <w:rsid w:val="00247E47"/>
    <w:rsid w:val="0025676E"/>
    <w:rsid w:val="00262627"/>
    <w:rsid w:val="0026394B"/>
    <w:rsid w:val="00276622"/>
    <w:rsid w:val="002946C2"/>
    <w:rsid w:val="00294A95"/>
    <w:rsid w:val="00296CA7"/>
    <w:rsid w:val="002A1863"/>
    <w:rsid w:val="002B178B"/>
    <w:rsid w:val="002B44B0"/>
    <w:rsid w:val="002B59C8"/>
    <w:rsid w:val="002C6A32"/>
    <w:rsid w:val="002D4DE6"/>
    <w:rsid w:val="002D641A"/>
    <w:rsid w:val="002E53EF"/>
    <w:rsid w:val="003014C4"/>
    <w:rsid w:val="00301D27"/>
    <w:rsid w:val="00302E19"/>
    <w:rsid w:val="00305A84"/>
    <w:rsid w:val="00305DCC"/>
    <w:rsid w:val="003069BD"/>
    <w:rsid w:val="00337BBE"/>
    <w:rsid w:val="00341E4A"/>
    <w:rsid w:val="00356208"/>
    <w:rsid w:val="003655DE"/>
    <w:rsid w:val="00365E2C"/>
    <w:rsid w:val="00367491"/>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40522"/>
    <w:rsid w:val="004427C3"/>
    <w:rsid w:val="00454C87"/>
    <w:rsid w:val="004564AA"/>
    <w:rsid w:val="00456F2C"/>
    <w:rsid w:val="00467AC4"/>
    <w:rsid w:val="004741B9"/>
    <w:rsid w:val="00482B88"/>
    <w:rsid w:val="00495585"/>
    <w:rsid w:val="004A0C67"/>
    <w:rsid w:val="004B7AAB"/>
    <w:rsid w:val="004C2AEB"/>
    <w:rsid w:val="004C4ECA"/>
    <w:rsid w:val="004D0D38"/>
    <w:rsid w:val="004D61E5"/>
    <w:rsid w:val="004D6F79"/>
    <w:rsid w:val="004E7B49"/>
    <w:rsid w:val="00504371"/>
    <w:rsid w:val="005056BC"/>
    <w:rsid w:val="00506B65"/>
    <w:rsid w:val="00511001"/>
    <w:rsid w:val="00511623"/>
    <w:rsid w:val="00526C93"/>
    <w:rsid w:val="00527F8F"/>
    <w:rsid w:val="00537F05"/>
    <w:rsid w:val="0054013B"/>
    <w:rsid w:val="005403C1"/>
    <w:rsid w:val="0054303A"/>
    <w:rsid w:val="0056015E"/>
    <w:rsid w:val="00561BA0"/>
    <w:rsid w:val="00572DCE"/>
    <w:rsid w:val="0057523A"/>
    <w:rsid w:val="0059094E"/>
    <w:rsid w:val="00593C1B"/>
    <w:rsid w:val="005A11D3"/>
    <w:rsid w:val="005A493F"/>
    <w:rsid w:val="005A6BF6"/>
    <w:rsid w:val="005A74A1"/>
    <w:rsid w:val="005B1933"/>
    <w:rsid w:val="005B5EBD"/>
    <w:rsid w:val="005C774A"/>
    <w:rsid w:val="005D2B68"/>
    <w:rsid w:val="005D2CAB"/>
    <w:rsid w:val="005D54AF"/>
    <w:rsid w:val="005D757A"/>
    <w:rsid w:val="005E04A5"/>
    <w:rsid w:val="005E1CC2"/>
    <w:rsid w:val="005F1DB3"/>
    <w:rsid w:val="005F3952"/>
    <w:rsid w:val="005F57AF"/>
    <w:rsid w:val="00605D4A"/>
    <w:rsid w:val="0060646F"/>
    <w:rsid w:val="00630CA1"/>
    <w:rsid w:val="006328D9"/>
    <w:rsid w:val="00635373"/>
    <w:rsid w:val="00637D37"/>
    <w:rsid w:val="0065091D"/>
    <w:rsid w:val="00654EE0"/>
    <w:rsid w:val="006719CA"/>
    <w:rsid w:val="006769E2"/>
    <w:rsid w:val="00680F73"/>
    <w:rsid w:val="006921DC"/>
    <w:rsid w:val="006A063A"/>
    <w:rsid w:val="006A3732"/>
    <w:rsid w:val="006B0497"/>
    <w:rsid w:val="006B779C"/>
    <w:rsid w:val="006C1A8A"/>
    <w:rsid w:val="006C2998"/>
    <w:rsid w:val="006C3E73"/>
    <w:rsid w:val="006C7C32"/>
    <w:rsid w:val="006D628D"/>
    <w:rsid w:val="006E0DE9"/>
    <w:rsid w:val="006E119F"/>
    <w:rsid w:val="006E2C82"/>
    <w:rsid w:val="006E5FF3"/>
    <w:rsid w:val="006F17A4"/>
    <w:rsid w:val="00701311"/>
    <w:rsid w:val="0070233D"/>
    <w:rsid w:val="00703A03"/>
    <w:rsid w:val="00706CDE"/>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339F"/>
    <w:rsid w:val="00794706"/>
    <w:rsid w:val="007A2B6B"/>
    <w:rsid w:val="007A72C9"/>
    <w:rsid w:val="007B3138"/>
    <w:rsid w:val="007B337E"/>
    <w:rsid w:val="007B6AA7"/>
    <w:rsid w:val="007B72A3"/>
    <w:rsid w:val="007C4508"/>
    <w:rsid w:val="007D7EDB"/>
    <w:rsid w:val="007E4393"/>
    <w:rsid w:val="007E5D54"/>
    <w:rsid w:val="007E7724"/>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D2C5B"/>
    <w:rsid w:val="008E6CB8"/>
    <w:rsid w:val="008F5200"/>
    <w:rsid w:val="008F6460"/>
    <w:rsid w:val="00906039"/>
    <w:rsid w:val="00906A2B"/>
    <w:rsid w:val="00912CB2"/>
    <w:rsid w:val="00913D4A"/>
    <w:rsid w:val="00920076"/>
    <w:rsid w:val="0092756B"/>
    <w:rsid w:val="009329C0"/>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3BB4"/>
    <w:rsid w:val="009F731A"/>
    <w:rsid w:val="009F7C94"/>
    <w:rsid w:val="00A01FE9"/>
    <w:rsid w:val="00A20CDB"/>
    <w:rsid w:val="00A25957"/>
    <w:rsid w:val="00A27B32"/>
    <w:rsid w:val="00A40FA5"/>
    <w:rsid w:val="00A41535"/>
    <w:rsid w:val="00A502BA"/>
    <w:rsid w:val="00A50E3A"/>
    <w:rsid w:val="00A521B4"/>
    <w:rsid w:val="00A5426B"/>
    <w:rsid w:val="00A54E34"/>
    <w:rsid w:val="00A647DF"/>
    <w:rsid w:val="00A67B7A"/>
    <w:rsid w:val="00A71261"/>
    <w:rsid w:val="00A75313"/>
    <w:rsid w:val="00A84DE2"/>
    <w:rsid w:val="00A94C63"/>
    <w:rsid w:val="00A965DA"/>
    <w:rsid w:val="00A96937"/>
    <w:rsid w:val="00A96A0F"/>
    <w:rsid w:val="00AA21E3"/>
    <w:rsid w:val="00AA3BCB"/>
    <w:rsid w:val="00AA6FEF"/>
    <w:rsid w:val="00AB0499"/>
    <w:rsid w:val="00AC0365"/>
    <w:rsid w:val="00AC0EB7"/>
    <w:rsid w:val="00AC4DB4"/>
    <w:rsid w:val="00AC7B77"/>
    <w:rsid w:val="00AD64DB"/>
    <w:rsid w:val="00AF5B07"/>
    <w:rsid w:val="00B0415E"/>
    <w:rsid w:val="00B07498"/>
    <w:rsid w:val="00B11544"/>
    <w:rsid w:val="00B17AA1"/>
    <w:rsid w:val="00B203C5"/>
    <w:rsid w:val="00B22DF7"/>
    <w:rsid w:val="00B35A3F"/>
    <w:rsid w:val="00B50DF3"/>
    <w:rsid w:val="00B54EC7"/>
    <w:rsid w:val="00B618BA"/>
    <w:rsid w:val="00B64D98"/>
    <w:rsid w:val="00B70422"/>
    <w:rsid w:val="00B73436"/>
    <w:rsid w:val="00B7452E"/>
    <w:rsid w:val="00B7752E"/>
    <w:rsid w:val="00B9121C"/>
    <w:rsid w:val="00B92288"/>
    <w:rsid w:val="00BA1EC9"/>
    <w:rsid w:val="00BA516D"/>
    <w:rsid w:val="00BB2BFD"/>
    <w:rsid w:val="00BB6416"/>
    <w:rsid w:val="00BB6CF1"/>
    <w:rsid w:val="00BC420E"/>
    <w:rsid w:val="00BD1C9D"/>
    <w:rsid w:val="00BD7F73"/>
    <w:rsid w:val="00BE0964"/>
    <w:rsid w:val="00BE1051"/>
    <w:rsid w:val="00BF2238"/>
    <w:rsid w:val="00BF2A57"/>
    <w:rsid w:val="00BF7A77"/>
    <w:rsid w:val="00C056D3"/>
    <w:rsid w:val="00C05CDF"/>
    <w:rsid w:val="00C0691B"/>
    <w:rsid w:val="00C11680"/>
    <w:rsid w:val="00C1219D"/>
    <w:rsid w:val="00C20888"/>
    <w:rsid w:val="00C230CC"/>
    <w:rsid w:val="00C33853"/>
    <w:rsid w:val="00C33A53"/>
    <w:rsid w:val="00C365A7"/>
    <w:rsid w:val="00C40C22"/>
    <w:rsid w:val="00C40E6D"/>
    <w:rsid w:val="00C41EF8"/>
    <w:rsid w:val="00C42339"/>
    <w:rsid w:val="00C4419F"/>
    <w:rsid w:val="00C5201B"/>
    <w:rsid w:val="00C52CDA"/>
    <w:rsid w:val="00C807C8"/>
    <w:rsid w:val="00C85D86"/>
    <w:rsid w:val="00C921B0"/>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654CE"/>
    <w:rsid w:val="00D7359F"/>
    <w:rsid w:val="00D93B0B"/>
    <w:rsid w:val="00D97B22"/>
    <w:rsid w:val="00DA1FCB"/>
    <w:rsid w:val="00DA2B1D"/>
    <w:rsid w:val="00DA3631"/>
    <w:rsid w:val="00DA5BB3"/>
    <w:rsid w:val="00DB0602"/>
    <w:rsid w:val="00DB3840"/>
    <w:rsid w:val="00DB453B"/>
    <w:rsid w:val="00DC0EF8"/>
    <w:rsid w:val="00DD2598"/>
    <w:rsid w:val="00DE0FAF"/>
    <w:rsid w:val="00DE58E1"/>
    <w:rsid w:val="00DE64EF"/>
    <w:rsid w:val="00DE7378"/>
    <w:rsid w:val="00DE7BFA"/>
    <w:rsid w:val="00DF0FE3"/>
    <w:rsid w:val="00DF60C3"/>
    <w:rsid w:val="00E02623"/>
    <w:rsid w:val="00E11253"/>
    <w:rsid w:val="00E1708D"/>
    <w:rsid w:val="00E27654"/>
    <w:rsid w:val="00E27B79"/>
    <w:rsid w:val="00E43225"/>
    <w:rsid w:val="00E43E81"/>
    <w:rsid w:val="00E53999"/>
    <w:rsid w:val="00E57054"/>
    <w:rsid w:val="00E60A3B"/>
    <w:rsid w:val="00E62EEF"/>
    <w:rsid w:val="00E66CCA"/>
    <w:rsid w:val="00E82F37"/>
    <w:rsid w:val="00E86BF7"/>
    <w:rsid w:val="00EA71E7"/>
    <w:rsid w:val="00EB7B56"/>
    <w:rsid w:val="00EC52C8"/>
    <w:rsid w:val="00ED5B5E"/>
    <w:rsid w:val="00ED6720"/>
    <w:rsid w:val="00EE66BA"/>
    <w:rsid w:val="00F00266"/>
    <w:rsid w:val="00F02676"/>
    <w:rsid w:val="00F05501"/>
    <w:rsid w:val="00F07DFC"/>
    <w:rsid w:val="00F12A90"/>
    <w:rsid w:val="00F1319C"/>
    <w:rsid w:val="00F31F7A"/>
    <w:rsid w:val="00F3203C"/>
    <w:rsid w:val="00F321B9"/>
    <w:rsid w:val="00F322B8"/>
    <w:rsid w:val="00F34042"/>
    <w:rsid w:val="00F355F1"/>
    <w:rsid w:val="00F40B20"/>
    <w:rsid w:val="00F47B98"/>
    <w:rsid w:val="00F52555"/>
    <w:rsid w:val="00F61AE6"/>
    <w:rsid w:val="00F625D0"/>
    <w:rsid w:val="00F64FD5"/>
    <w:rsid w:val="00F77043"/>
    <w:rsid w:val="00F816CC"/>
    <w:rsid w:val="00F83B9D"/>
    <w:rsid w:val="00F875A7"/>
    <w:rsid w:val="00F9348E"/>
    <w:rsid w:val="00F93D1E"/>
    <w:rsid w:val="00F96BB7"/>
    <w:rsid w:val="00FA0893"/>
    <w:rsid w:val="00FA450B"/>
    <w:rsid w:val="00FA6E63"/>
    <w:rsid w:val="00FA7582"/>
    <w:rsid w:val="00FB1377"/>
    <w:rsid w:val="00FB6975"/>
    <w:rsid w:val="00FC040E"/>
    <w:rsid w:val="00FC371A"/>
    <w:rsid w:val="00FC5500"/>
    <w:rsid w:val="00FD28BD"/>
    <w:rsid w:val="00FD3142"/>
    <w:rsid w:val="00FD3953"/>
    <w:rsid w:val="00FD4AA7"/>
    <w:rsid w:val="00FE4E87"/>
    <w:rsid w:val="00FE72A7"/>
    <w:rsid w:val="00FE7461"/>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21" Type="http://schemas.openxmlformats.org/officeDocument/2006/relationships/hyperlink" Target="http://www.appliedgeology.co.uk/" TargetMode="External"/><Relationship Id="rId34" Type="http://schemas.openxmlformats.org/officeDocument/2006/relationships/footer" Target="footer2.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jpe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3875</Characters>
  <Application>Microsoft Office Word</Application>
  <DocSecurity>4</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2</cp:revision>
  <cp:lastPrinted>2020-04-27T14:16:00Z</cp:lastPrinted>
  <dcterms:created xsi:type="dcterms:W3CDTF">2026-04-30T06:47:00Z</dcterms:created>
  <dcterms:modified xsi:type="dcterms:W3CDTF">2026-04-30T06:47:00Z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